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 w:eastAsiaTheme="minorEastAsia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附件</w:t>
      </w:r>
    </w:p>
    <w:p>
      <w:pPr>
        <w:jc w:val="center"/>
      </w:pPr>
      <w:r>
        <w:rPr>
          <w:rFonts w:hint="eastAsia" w:ascii="宋体" w:hAnsi="宋体" w:cs="宋体"/>
          <w:kern w:val="0"/>
          <w:sz w:val="36"/>
          <w:szCs w:val="36"/>
        </w:rPr>
        <w:t>中北大学20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kern w:val="0"/>
          <w:sz w:val="36"/>
          <w:szCs w:val="36"/>
        </w:rPr>
        <w:t>年教材建设立项项目</w:t>
      </w:r>
    </w:p>
    <w:tbl>
      <w:tblPr>
        <w:tblStyle w:val="5"/>
        <w:tblW w:w="5441" w:type="pct"/>
        <w:tblInd w:w="-643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2416"/>
        <w:gridCol w:w="830"/>
        <w:gridCol w:w="1440"/>
        <w:gridCol w:w="946"/>
        <w:gridCol w:w="31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排序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申报项目名称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新编或修订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教材类型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大国兵器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立体化教材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尹建平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蔺玄晋、王志军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画法几何级机械制图（第四版）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修订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一般性教材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李虹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马春生、赵耀虹、刘虎、邢秀琴、李艳兰、杜玲林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工程经济与管理概论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一般性教材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叶云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王志云、杨晓敏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模拟电子技术基础（第3版）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修订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立体化教材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王黎明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毕满清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王黎明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高文华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韩跃平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任青莲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曹俊琴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赵英亮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庞存锁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李瑞红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数字图像处理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立体化教材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杨娜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杨风暴、郭丽娜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数字电子技术基础（第3版）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修订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立体化教材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张艳花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韩焱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张艳花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王康谊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李兆光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杨慧娟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薛英娟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周惠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通信原理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立体化教材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王浩全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王浩全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王晨光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王鉴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王伟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葛丽华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孙兴丽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电磁场与电磁波（第2版）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修订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立体化教材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徐美芳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徐美芳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田秀荣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苏新彦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侯文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姚爱琴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戚俊成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马亚云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改进的群智能算法及其应用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一般性教材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胡红萍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数值计算方法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第三版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修订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一般性教材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杨明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雷英杰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炸药与火工品安全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一般性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胡立双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胡立双、胡双启、张清爽、刘洋、曹雄、赵海霞、冯永安、崔超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事故预测方法与技术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一般性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袁俊明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王保民、王建华、于雁武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计算机控制技术及应用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立体化教材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尤文斌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丁永红、马铁华、李旭妍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MATLAB软件在电气工程及其自动化专业中的应用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一般性教材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赵俊梅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石喜玲、张海燕、秦鹏、付巍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信息化</w:t>
            </w: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武器装备——现在战争的制胜法宝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bidi="ar"/>
              </w:rPr>
              <w:t>立体化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  <w:lang w:eastAsia="zh-CN" w:bidi="ar"/>
              </w:rPr>
              <w:t>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蔺</w:t>
            </w: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玄晋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尹</w:t>
            </w: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建平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张学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高校思政课实践教程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新编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性教材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郭玲霞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张博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、马栗、</w:t>
            </w:r>
            <w: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  <w:t>阚先学</w:t>
            </w:r>
          </w:p>
        </w:tc>
      </w:tr>
    </w:tbl>
    <w:p/>
    <w:p/>
    <w:p/>
    <w:p/>
    <w:sectPr>
      <w:pgSz w:w="11906" w:h="16838"/>
      <w:pgMar w:top="851" w:right="1134" w:bottom="851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97"/>
    <w:rsid w:val="00634F37"/>
    <w:rsid w:val="0071161F"/>
    <w:rsid w:val="007B4F97"/>
    <w:rsid w:val="008144EE"/>
    <w:rsid w:val="0082781E"/>
    <w:rsid w:val="008F6858"/>
    <w:rsid w:val="009A2AE2"/>
    <w:rsid w:val="009B79F6"/>
    <w:rsid w:val="00A939F2"/>
    <w:rsid w:val="00AC7E9C"/>
    <w:rsid w:val="00D24C1F"/>
    <w:rsid w:val="00EE2714"/>
    <w:rsid w:val="00F407CD"/>
    <w:rsid w:val="00FC5615"/>
    <w:rsid w:val="05830556"/>
    <w:rsid w:val="05DE147E"/>
    <w:rsid w:val="063B3997"/>
    <w:rsid w:val="101228B3"/>
    <w:rsid w:val="11F10D02"/>
    <w:rsid w:val="26E85F9C"/>
    <w:rsid w:val="2AD7033B"/>
    <w:rsid w:val="3D7B57CB"/>
    <w:rsid w:val="42061D16"/>
    <w:rsid w:val="44376FB2"/>
    <w:rsid w:val="62574A76"/>
    <w:rsid w:val="64A33D60"/>
    <w:rsid w:val="67D3617C"/>
    <w:rsid w:val="695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185</Words>
  <Characters>1060</Characters>
  <Lines>8</Lines>
  <Paragraphs>2</Paragraphs>
  <TotalTime>1</TotalTime>
  <ScaleCrop>false</ScaleCrop>
  <LinksUpToDate>false</LinksUpToDate>
  <CharactersWithSpaces>1243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zbdx</dc:creator>
  <cp:lastModifiedBy>zbjw</cp:lastModifiedBy>
  <cp:lastPrinted>2020-09-25T07:48:00Z</cp:lastPrinted>
  <dcterms:modified xsi:type="dcterms:W3CDTF">2020-11-25T07:32:19Z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